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5635DED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BF15B8">
        <w:rPr>
          <w:rFonts w:ascii="Times New Roman" w:eastAsia="MS Mincho" w:hAnsi="Times New Roman"/>
          <w:b/>
          <w:sz w:val="28"/>
          <w:szCs w:val="28"/>
        </w:rPr>
        <w:t>440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6BB1DC0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2152EC2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53A9ED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34ED401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0CC01729" w14:textId="15626C40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Пашкина Юрия Сергеевича, </w:t>
      </w:r>
      <w:r w:rsidR="00E0628A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04535D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3A2F70E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90BABD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5FCCCB2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E9A3B6F" w14:textId="472381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BF15B8">
        <w:rPr>
          <w:rFonts w:eastAsia="MS Mincho"/>
          <w:sz w:val="28"/>
          <w:szCs w:val="28"/>
        </w:rPr>
        <w:t>Пашкин Ю.С.</w:t>
      </w:r>
      <w:r w:rsidR="00A11E54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>29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BF15B8">
        <w:rPr>
          <w:rFonts w:eastAsia="MS Mincho"/>
          <w:sz w:val="28"/>
          <w:szCs w:val="28"/>
        </w:rPr>
        <w:t>23 часа 37</w:t>
      </w:r>
      <w:r w:rsidR="0074076C">
        <w:rPr>
          <w:rFonts w:eastAsia="MS Mincho"/>
          <w:sz w:val="28"/>
          <w:szCs w:val="28"/>
        </w:rPr>
        <w:t xml:space="preserve"> минуту</w:t>
      </w:r>
      <w:r w:rsidR="001F0BB8">
        <w:rPr>
          <w:rFonts w:eastAsia="MS Mincho"/>
          <w:sz w:val="28"/>
          <w:szCs w:val="28"/>
        </w:rPr>
        <w:t xml:space="preserve">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BF15B8">
        <w:rPr>
          <w:rFonts w:eastAsia="MS Mincho"/>
          <w:sz w:val="28"/>
          <w:szCs w:val="28"/>
        </w:rPr>
        <w:t xml:space="preserve">Тойота Хайлюкс </w:t>
      </w:r>
      <w:r w:rsidR="0074076C">
        <w:rPr>
          <w:rFonts w:eastAsia="MS Mincho"/>
          <w:sz w:val="28"/>
          <w:szCs w:val="28"/>
        </w:rPr>
        <w:t xml:space="preserve">г.н. </w:t>
      </w:r>
      <w:r w:rsidR="00E0628A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0DE6E7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6E5A019E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Пашкин Ю.С.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0DFCFFAA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DE8DA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BF15B8">
        <w:rPr>
          <w:rFonts w:eastAsia="MS Mincho"/>
          <w:sz w:val="28"/>
          <w:szCs w:val="28"/>
        </w:rPr>
        <w:t>Пашкин Ю.С.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9160D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BF15B8">
        <w:rPr>
          <w:rFonts w:eastAsia="MS Mincho"/>
          <w:sz w:val="28"/>
          <w:szCs w:val="28"/>
        </w:rPr>
        <w:t>Пашкин Ю,С.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4E156C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6FF68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F628C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72B8DDA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BF15B8">
        <w:rPr>
          <w:snapToGrid w:val="0"/>
          <w:sz w:val="28"/>
          <w:szCs w:val="28"/>
        </w:rPr>
        <w:t>Пашкина Ю.С.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391BB36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76BEFDC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81B1A2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2C6459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6B69B23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50E7A0F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BF15B8">
        <w:rPr>
          <w:sz w:val="28"/>
          <w:szCs w:val="28"/>
        </w:rPr>
        <w:t>Пашкина Ю.С.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116A5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3CE77306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16347A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649B236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446C32C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9BA24B6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651F16A8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74B5223D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BF15B8">
        <w:rPr>
          <w:rFonts w:eastAsia="MS Mincho"/>
          <w:sz w:val="28"/>
          <w:szCs w:val="28"/>
        </w:rPr>
        <w:t>Пашкина Юрия Сергеевича</w:t>
      </w:r>
      <w:r w:rsidR="0074076C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E321B2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3EF7DF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5C1284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2E5711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3499E5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A4C0EE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38B817A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73054C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4310C7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5C56250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9706D7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92505A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CC2D71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FD6EC6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33754F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EAB3CD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9C2DE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3E68C90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889624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A48E2D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933EFF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CA25A9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98BC9D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2CBB9C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3B790F4B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74076C">
        <w:rPr>
          <w:sz w:val="28"/>
          <w:szCs w:val="28"/>
        </w:rPr>
        <w:t>2</w:t>
      </w:r>
      <w:r w:rsidR="00BF15B8">
        <w:rPr>
          <w:sz w:val="28"/>
          <w:szCs w:val="28"/>
        </w:rPr>
        <w:t>837</w:t>
      </w:r>
    </w:p>
    <w:p w:rsidR="001D638F" w:rsidRPr="003203C0" w:rsidP="001D638F" w14:paraId="2E4C86F1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48E185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EBBD6B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729F583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FBC8F2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FCCF94C" w14:textId="38A16092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E0628A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E0628A" w14:paraId="4D1B58B2" w14:textId="5A1988D6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E0628A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18CF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CAF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0628A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1C33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9AB2-EB1F-4360-9F19-CD64E1C1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